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color w:val="000000"/>
          <w:kern w:val="0"/>
          <w:sz w:val="32"/>
          <w:szCs w:val="32"/>
          <w:highlight w:val="none"/>
          <w:lang w:val="en-US" w:eastAsia="zh-CN" w:bidi="ar"/>
        </w:rPr>
      </w:pPr>
      <w:bookmarkStart w:id="0" w:name="_GoBack"/>
      <w:r>
        <w:rPr>
          <w:rFonts w:hint="eastAsia" w:ascii="仿宋" w:hAnsi="仿宋" w:eastAsia="仿宋" w:cs="仿宋"/>
          <w:b/>
          <w:bCs/>
          <w:color w:val="000000"/>
          <w:kern w:val="0"/>
          <w:sz w:val="32"/>
          <w:szCs w:val="32"/>
          <w:highlight w:val="none"/>
          <w:lang w:val="en-US" w:eastAsia="zh-CN" w:bidi="ar"/>
        </w:rPr>
        <w:t>附</w:t>
      </w:r>
      <w:r>
        <w:rPr>
          <w:rFonts w:hint="eastAsia" w:ascii="仿宋" w:hAnsi="仿宋" w:eastAsia="仿宋" w:cs="仿宋"/>
          <w:b/>
          <w:bCs/>
          <w:color w:val="000000"/>
          <w:kern w:val="0"/>
          <w:sz w:val="32"/>
          <w:szCs w:val="32"/>
          <w:highlight w:val="none"/>
          <w:lang w:val="en-US" w:eastAsia="zh-CN" w:bidi="ar"/>
        </w:rPr>
        <w:t>件</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评分标准</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2"/>
        <w:gridCol w:w="1297"/>
        <w:gridCol w:w="5142"/>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9" w:hRule="atLeast"/>
        </w:trPr>
        <w:tc>
          <w:tcPr>
            <w:tcW w:w="483" w:type="pct"/>
            <w:tcBorders>
              <w:top w:val="single" w:color="auto" w:sz="8" w:space="0"/>
              <w:left w:val="single" w:color="auto" w:sz="8" w:space="0"/>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1"/>
                <w:szCs w:val="21"/>
              </w:rPr>
            </w:pPr>
            <w:r>
              <w:rPr>
                <w:rFonts w:hint="default" w:ascii="仿宋_GB2312" w:hAnsi="Microsoft YaHei UI" w:eastAsia="仿宋_GB2312" w:cs="仿宋_GB2312"/>
                <w:i w:val="0"/>
                <w:iCs w:val="0"/>
                <w:caps w:val="0"/>
                <w:color w:val="000000"/>
                <w:spacing w:val="4"/>
                <w:sz w:val="21"/>
                <w:szCs w:val="21"/>
              </w:rPr>
              <w:t>序号</w:t>
            </w:r>
          </w:p>
        </w:tc>
        <w:tc>
          <w:tcPr>
            <w:tcW w:w="761" w:type="pct"/>
            <w:tcBorders>
              <w:top w:val="single" w:color="auto" w:sz="8" w:space="0"/>
              <w:left w:val="nil"/>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1"/>
                <w:szCs w:val="21"/>
              </w:rPr>
            </w:pPr>
            <w:r>
              <w:rPr>
                <w:rFonts w:hint="default" w:ascii="仿宋_GB2312" w:hAnsi="Microsoft YaHei UI" w:eastAsia="仿宋_GB2312" w:cs="仿宋_GB2312"/>
                <w:i w:val="0"/>
                <w:iCs w:val="0"/>
                <w:caps w:val="0"/>
                <w:color w:val="000000"/>
                <w:spacing w:val="4"/>
                <w:sz w:val="21"/>
                <w:szCs w:val="21"/>
              </w:rPr>
              <w:t>评分项目</w:t>
            </w:r>
          </w:p>
        </w:tc>
        <w:tc>
          <w:tcPr>
            <w:tcW w:w="3017" w:type="pct"/>
            <w:tcBorders>
              <w:top w:val="single" w:color="auto" w:sz="8" w:space="0"/>
              <w:left w:val="nil"/>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1"/>
                <w:szCs w:val="21"/>
              </w:rPr>
            </w:pPr>
            <w:r>
              <w:rPr>
                <w:rFonts w:hint="default" w:ascii="仿宋_GB2312" w:hAnsi="Microsoft YaHei UI" w:eastAsia="仿宋_GB2312" w:cs="仿宋_GB2312"/>
                <w:i w:val="0"/>
                <w:iCs w:val="0"/>
                <w:caps w:val="0"/>
                <w:color w:val="000000"/>
                <w:spacing w:val="4"/>
                <w:sz w:val="21"/>
                <w:szCs w:val="21"/>
              </w:rPr>
              <w:t>评标标准</w:t>
            </w:r>
          </w:p>
        </w:tc>
        <w:tc>
          <w:tcPr>
            <w:tcW w:w="737" w:type="pct"/>
            <w:tcBorders>
              <w:top w:val="single" w:color="auto" w:sz="8" w:space="0"/>
              <w:left w:val="nil"/>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1"/>
                <w:szCs w:val="21"/>
              </w:rPr>
            </w:pPr>
            <w:r>
              <w:rPr>
                <w:rFonts w:hint="default" w:ascii="仿宋_GB2312" w:hAnsi="Microsoft YaHei UI" w:eastAsia="仿宋_GB2312" w:cs="仿宋_GB2312"/>
                <w:i w:val="0"/>
                <w:iCs w:val="0"/>
                <w:caps w:val="0"/>
                <w:color w:val="000000"/>
                <w:spacing w:val="4"/>
                <w:sz w:val="21"/>
                <w:szCs w:val="21"/>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483" w:type="pct"/>
            <w:tcBorders>
              <w:top w:val="single" w:color="auto" w:sz="8" w:space="0"/>
              <w:left w:val="single" w:color="auto" w:sz="8" w:space="0"/>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leftChars="0" w:right="0" w:rightChars="0"/>
              <w:jc w:val="center"/>
              <w:rPr>
                <w:rFonts w:hint="eastAsia" w:ascii="Arial Unicode MS" w:hAnsi="Arial Unicode MS" w:eastAsia="宋体" w:cs="Arial Unicode MS"/>
                <w:kern w:val="0"/>
                <w:sz w:val="21"/>
                <w:szCs w:val="21"/>
                <w:lang w:val="en-US" w:eastAsia="zh-CN" w:bidi="ar-SA"/>
              </w:rPr>
            </w:pPr>
            <w:r>
              <w:rPr>
                <w:rFonts w:hint="eastAsia" w:ascii="仿宋_GB2312" w:hAnsi="Microsoft YaHei UI" w:eastAsia="仿宋_GB2312" w:cs="仿宋_GB2312"/>
                <w:i w:val="0"/>
                <w:iCs w:val="0"/>
                <w:caps w:val="0"/>
                <w:color w:val="000000"/>
                <w:spacing w:val="4"/>
                <w:sz w:val="21"/>
                <w:szCs w:val="21"/>
                <w:lang w:val="en-US" w:eastAsia="zh-CN"/>
              </w:rPr>
              <w:t>1</w:t>
            </w:r>
          </w:p>
        </w:tc>
        <w:tc>
          <w:tcPr>
            <w:tcW w:w="761" w:type="pct"/>
            <w:tcBorders>
              <w:top w:val="single" w:color="auto" w:sz="8" w:space="0"/>
              <w:left w:val="nil"/>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leftChars="0" w:right="0" w:rightChars="0"/>
              <w:jc w:val="center"/>
              <w:rPr>
                <w:rFonts w:hint="default" w:ascii="Arial Unicode MS" w:hAnsi="Arial Unicode MS" w:eastAsia="Arial Unicode MS" w:cs="Arial Unicode MS"/>
                <w:kern w:val="0"/>
                <w:sz w:val="21"/>
                <w:szCs w:val="21"/>
                <w:lang w:val="en-US" w:eastAsia="zh-CN" w:bidi="ar-SA"/>
              </w:rPr>
            </w:pPr>
            <w:r>
              <w:rPr>
                <w:rFonts w:hint="default" w:ascii="仿宋_GB2312" w:hAnsi="Microsoft YaHei UI" w:eastAsia="仿宋_GB2312" w:cs="仿宋_GB2312"/>
                <w:i w:val="0"/>
                <w:iCs w:val="0"/>
                <w:caps w:val="0"/>
                <w:color w:val="000000"/>
                <w:spacing w:val="4"/>
                <w:sz w:val="21"/>
                <w:szCs w:val="21"/>
              </w:rPr>
              <w:t>招标代理服务方案</w:t>
            </w:r>
          </w:p>
        </w:tc>
        <w:tc>
          <w:tcPr>
            <w:tcW w:w="3017" w:type="pct"/>
            <w:tcBorders>
              <w:top w:val="single" w:color="auto" w:sz="8" w:space="0"/>
              <w:left w:val="nil"/>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rPr>
                <w:sz w:val="21"/>
                <w:szCs w:val="21"/>
              </w:rPr>
            </w:pPr>
            <w:r>
              <w:rPr>
                <w:rFonts w:hint="default" w:ascii="仿宋_GB2312" w:hAnsi="Microsoft YaHei UI" w:eastAsia="仿宋_GB2312" w:cs="仿宋_GB2312"/>
                <w:i w:val="0"/>
                <w:iCs w:val="0"/>
                <w:caps w:val="0"/>
                <w:color w:val="000000"/>
                <w:spacing w:val="4"/>
                <w:sz w:val="21"/>
                <w:szCs w:val="21"/>
              </w:rPr>
              <w:t>服务方案（</w:t>
            </w:r>
            <w:r>
              <w:rPr>
                <w:rFonts w:hint="eastAsia" w:ascii="仿宋_GB2312" w:hAnsi="Microsoft YaHei UI" w:eastAsia="仿宋_GB2312" w:cs="仿宋_GB2312"/>
                <w:i w:val="0"/>
                <w:iCs w:val="0"/>
                <w:caps w:val="0"/>
                <w:color w:val="000000"/>
                <w:spacing w:val="4"/>
                <w:sz w:val="21"/>
                <w:szCs w:val="21"/>
                <w:lang w:val="en-US" w:eastAsia="zh-CN"/>
              </w:rPr>
              <w:t>6</w:t>
            </w:r>
            <w:r>
              <w:rPr>
                <w:rFonts w:hint="default" w:ascii="仿宋_GB2312" w:hAnsi="Microsoft YaHei UI" w:eastAsia="仿宋_GB2312" w:cs="仿宋_GB2312"/>
                <w:i w:val="0"/>
                <w:iCs w:val="0"/>
                <w:caps w:val="0"/>
                <w:color w:val="000000"/>
                <w:spacing w:val="4"/>
                <w:sz w:val="21"/>
                <w:szCs w:val="21"/>
              </w:rPr>
              <w:t>4分）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rPr>
                <w:sz w:val="21"/>
                <w:szCs w:val="21"/>
              </w:rPr>
            </w:pPr>
            <w:r>
              <w:rPr>
                <w:rFonts w:hint="default" w:ascii="仿宋_GB2312" w:hAnsi="Microsoft YaHei UI" w:eastAsia="仿宋_GB2312" w:cs="仿宋_GB2312"/>
                <w:i w:val="0"/>
                <w:iCs w:val="0"/>
                <w:caps w:val="0"/>
                <w:color w:val="000000"/>
                <w:spacing w:val="4"/>
                <w:sz w:val="21"/>
                <w:szCs w:val="21"/>
              </w:rPr>
              <w:t>供应商应按照项目内容及采购人实际需求，向采购人提交针对本项目切实可行的服务方案，包含但不限于：</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rPr>
                <w:sz w:val="21"/>
                <w:szCs w:val="21"/>
              </w:rPr>
            </w:pPr>
            <w:r>
              <w:rPr>
                <w:rFonts w:hint="default" w:ascii="仿宋_GB2312" w:hAnsi="Microsoft YaHei UI" w:eastAsia="仿宋_GB2312" w:cs="仿宋_GB2312"/>
                <w:i w:val="0"/>
                <w:iCs w:val="0"/>
                <w:caps w:val="0"/>
                <w:color w:val="000000"/>
                <w:spacing w:val="4"/>
                <w:sz w:val="21"/>
                <w:szCs w:val="21"/>
              </w:rPr>
              <w:t>1、服务内容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rPr>
                <w:sz w:val="21"/>
                <w:szCs w:val="21"/>
              </w:rPr>
            </w:pPr>
            <w:r>
              <w:rPr>
                <w:rFonts w:hint="default" w:ascii="仿宋_GB2312" w:hAnsi="Microsoft YaHei UI" w:eastAsia="仿宋_GB2312" w:cs="仿宋_GB2312"/>
                <w:i w:val="0"/>
                <w:iCs w:val="0"/>
                <w:caps w:val="0"/>
                <w:color w:val="000000"/>
                <w:spacing w:val="4"/>
                <w:sz w:val="21"/>
                <w:szCs w:val="21"/>
              </w:rPr>
              <w:t>2、工作流程及方法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rPr>
                <w:sz w:val="21"/>
                <w:szCs w:val="21"/>
              </w:rPr>
            </w:pPr>
            <w:r>
              <w:rPr>
                <w:rFonts w:hint="default" w:ascii="仿宋_GB2312" w:hAnsi="Microsoft YaHei UI" w:eastAsia="仿宋_GB2312" w:cs="仿宋_GB2312"/>
                <w:i w:val="0"/>
                <w:iCs w:val="0"/>
                <w:caps w:val="0"/>
                <w:color w:val="000000"/>
                <w:spacing w:val="4"/>
                <w:sz w:val="21"/>
                <w:szCs w:val="21"/>
              </w:rPr>
              <w:t>3、成果资料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rPr>
                <w:sz w:val="21"/>
                <w:szCs w:val="21"/>
              </w:rPr>
            </w:pPr>
            <w:r>
              <w:rPr>
                <w:rFonts w:hint="default" w:ascii="仿宋_GB2312" w:hAnsi="Microsoft YaHei UI" w:eastAsia="仿宋_GB2312" w:cs="仿宋_GB2312"/>
                <w:i w:val="0"/>
                <w:iCs w:val="0"/>
                <w:caps w:val="0"/>
                <w:color w:val="000000"/>
                <w:spacing w:val="4"/>
                <w:sz w:val="21"/>
                <w:szCs w:val="21"/>
              </w:rPr>
              <w:t>4、服务质量标准及服务质量保障措施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rPr>
                <w:sz w:val="21"/>
                <w:szCs w:val="21"/>
              </w:rPr>
            </w:pPr>
            <w:r>
              <w:rPr>
                <w:rFonts w:hint="default" w:ascii="仿宋_GB2312" w:hAnsi="Microsoft YaHei UI" w:eastAsia="仿宋_GB2312" w:cs="仿宋_GB2312"/>
                <w:i w:val="0"/>
                <w:iCs w:val="0"/>
                <w:caps w:val="0"/>
                <w:color w:val="000000"/>
                <w:spacing w:val="4"/>
                <w:sz w:val="21"/>
                <w:szCs w:val="21"/>
              </w:rPr>
              <w:t>5、对招标工作的建议和意见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rPr>
                <w:sz w:val="21"/>
                <w:szCs w:val="21"/>
              </w:rPr>
            </w:pPr>
            <w:r>
              <w:rPr>
                <w:rFonts w:hint="default" w:ascii="仿宋_GB2312" w:hAnsi="Microsoft YaHei UI" w:eastAsia="仿宋_GB2312" w:cs="仿宋_GB2312"/>
                <w:i w:val="0"/>
                <w:iCs w:val="0"/>
                <w:caps w:val="0"/>
                <w:color w:val="000000"/>
                <w:spacing w:val="4"/>
                <w:sz w:val="21"/>
                <w:szCs w:val="21"/>
              </w:rPr>
              <w:t>6、质疑投诉处理措施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rPr>
                <w:sz w:val="21"/>
                <w:szCs w:val="21"/>
              </w:rPr>
            </w:pPr>
            <w:r>
              <w:rPr>
                <w:rFonts w:hint="default" w:ascii="仿宋_GB2312" w:hAnsi="Microsoft YaHei UI" w:eastAsia="仿宋_GB2312" w:cs="仿宋_GB2312"/>
                <w:i w:val="0"/>
                <w:iCs w:val="0"/>
                <w:caps w:val="0"/>
                <w:color w:val="000000"/>
                <w:spacing w:val="4"/>
                <w:sz w:val="21"/>
                <w:szCs w:val="21"/>
              </w:rPr>
              <w:t>7、质量承诺及保证措施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rPr>
                <w:sz w:val="21"/>
                <w:szCs w:val="21"/>
              </w:rPr>
            </w:pPr>
            <w:r>
              <w:rPr>
                <w:rFonts w:hint="default" w:ascii="仿宋_GB2312" w:hAnsi="Microsoft YaHei UI" w:eastAsia="仿宋_GB2312" w:cs="仿宋_GB2312"/>
                <w:i w:val="0"/>
                <w:iCs w:val="0"/>
                <w:caps w:val="0"/>
                <w:color w:val="000000"/>
                <w:spacing w:val="4"/>
                <w:sz w:val="21"/>
                <w:szCs w:val="21"/>
              </w:rPr>
              <w:t>8、风险防控措施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rPr>
                <w:rFonts w:hint="default" w:ascii="仿宋_GB2312" w:hAnsi="Microsoft YaHei UI" w:eastAsia="仿宋_GB2312" w:cs="仿宋_GB2312"/>
                <w:i w:val="0"/>
                <w:iCs w:val="0"/>
                <w:caps w:val="0"/>
                <w:color w:val="000000"/>
                <w:spacing w:val="4"/>
                <w:sz w:val="21"/>
                <w:szCs w:val="21"/>
              </w:rPr>
            </w:pPr>
            <w:r>
              <w:rPr>
                <w:rFonts w:hint="default" w:ascii="仿宋_GB2312" w:hAnsi="Microsoft YaHei UI" w:eastAsia="仿宋_GB2312" w:cs="仿宋_GB2312"/>
                <w:i w:val="0"/>
                <w:iCs w:val="0"/>
                <w:caps w:val="0"/>
                <w:color w:val="000000"/>
                <w:spacing w:val="4"/>
                <w:sz w:val="21"/>
                <w:szCs w:val="21"/>
              </w:rPr>
              <w:t>9、档案管理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rPr>
                <w:rFonts w:hint="default" w:ascii="仿宋_GB2312" w:hAnsi="Microsoft YaHei UI" w:eastAsia="仿宋_GB2312" w:cs="仿宋_GB2312"/>
                <w:i w:val="0"/>
                <w:iCs w:val="0"/>
                <w:caps w:val="0"/>
                <w:color w:val="000000"/>
                <w:spacing w:val="4"/>
                <w:sz w:val="21"/>
                <w:szCs w:val="21"/>
                <w:lang w:val="en-US" w:eastAsia="zh-CN"/>
              </w:rPr>
            </w:pPr>
            <w:r>
              <w:rPr>
                <w:rFonts w:hint="eastAsia" w:ascii="仿宋_GB2312" w:hAnsi="Microsoft YaHei UI" w:eastAsia="仿宋_GB2312" w:cs="仿宋_GB2312"/>
                <w:i w:val="0"/>
                <w:iCs w:val="0"/>
                <w:caps w:val="0"/>
                <w:color w:val="000000"/>
                <w:spacing w:val="4"/>
                <w:sz w:val="21"/>
                <w:szCs w:val="21"/>
                <w:lang w:val="en-US" w:eastAsia="zh-CN"/>
              </w:rPr>
              <w:t>10、电子平台操作流程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rPr>
                <w:sz w:val="21"/>
                <w:szCs w:val="21"/>
              </w:rPr>
            </w:pPr>
            <w:r>
              <w:rPr>
                <w:rFonts w:hint="default" w:ascii="仿宋_GB2312" w:hAnsi="Microsoft YaHei UI" w:eastAsia="仿宋_GB2312" w:cs="仿宋_GB2312"/>
                <w:i w:val="0"/>
                <w:iCs w:val="0"/>
                <w:caps w:val="0"/>
                <w:color w:val="000000"/>
                <w:spacing w:val="4"/>
                <w:sz w:val="21"/>
                <w:szCs w:val="21"/>
              </w:rPr>
              <w:t>每提供一项得6</w:t>
            </w:r>
            <w:r>
              <w:rPr>
                <w:rFonts w:hint="eastAsia" w:ascii="仿宋_GB2312" w:hAnsi="Microsoft YaHei UI" w:eastAsia="仿宋_GB2312" w:cs="仿宋_GB2312"/>
                <w:i w:val="0"/>
                <w:iCs w:val="0"/>
                <w:caps w:val="0"/>
                <w:color w:val="000000"/>
                <w:spacing w:val="4"/>
                <w:sz w:val="21"/>
                <w:szCs w:val="21"/>
                <w:lang w:val="en-US" w:eastAsia="zh-CN"/>
              </w:rPr>
              <w:t>.4</w:t>
            </w:r>
            <w:r>
              <w:rPr>
                <w:rFonts w:hint="default" w:ascii="仿宋_GB2312" w:hAnsi="Microsoft YaHei UI" w:eastAsia="仿宋_GB2312" w:cs="仿宋_GB2312"/>
                <w:i w:val="0"/>
                <w:iCs w:val="0"/>
                <w:caps w:val="0"/>
                <w:color w:val="000000"/>
                <w:spacing w:val="4"/>
                <w:sz w:val="21"/>
                <w:szCs w:val="21"/>
              </w:rPr>
              <w:t>分，最多得</w:t>
            </w:r>
            <w:r>
              <w:rPr>
                <w:rFonts w:hint="eastAsia" w:ascii="仿宋_GB2312" w:hAnsi="Microsoft YaHei UI" w:eastAsia="仿宋_GB2312" w:cs="仿宋_GB2312"/>
                <w:i w:val="0"/>
                <w:iCs w:val="0"/>
                <w:caps w:val="0"/>
                <w:color w:val="000000"/>
                <w:spacing w:val="4"/>
                <w:sz w:val="21"/>
                <w:szCs w:val="21"/>
                <w:lang w:val="en-US" w:eastAsia="zh-CN"/>
              </w:rPr>
              <w:t>6</w:t>
            </w:r>
            <w:r>
              <w:rPr>
                <w:rFonts w:hint="default" w:ascii="仿宋_GB2312" w:hAnsi="Microsoft YaHei UI" w:eastAsia="仿宋_GB2312" w:cs="仿宋_GB2312"/>
                <w:i w:val="0"/>
                <w:iCs w:val="0"/>
                <w:caps w:val="0"/>
                <w:color w:val="000000"/>
                <w:spacing w:val="4"/>
                <w:sz w:val="21"/>
                <w:szCs w:val="21"/>
              </w:rPr>
              <w:t>4分。以上每一项中每有1处存在内容缺失扣5分，每一项关于内容缺陷最多扣2.5分，扣完为止。</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leftChars="0" w:right="0" w:rightChars="0"/>
              <w:jc w:val="both"/>
              <w:rPr>
                <w:rFonts w:hint="default" w:ascii="Arial Unicode MS" w:hAnsi="Arial Unicode MS" w:eastAsia="Arial Unicode MS" w:cs="Arial Unicode MS"/>
                <w:kern w:val="0"/>
                <w:sz w:val="21"/>
                <w:szCs w:val="21"/>
                <w:lang w:val="en-US" w:eastAsia="zh-CN" w:bidi="ar-SA"/>
              </w:rPr>
            </w:pPr>
            <w:r>
              <w:rPr>
                <w:rFonts w:hint="default" w:ascii="仿宋_GB2312" w:hAnsi="Microsoft YaHei UI" w:eastAsia="仿宋_GB2312" w:cs="仿宋_GB2312"/>
                <w:i w:val="0"/>
                <w:iCs w:val="0"/>
                <w:caps w:val="0"/>
                <w:color w:val="000000"/>
                <w:spacing w:val="4"/>
                <w:sz w:val="21"/>
                <w:szCs w:val="21"/>
              </w:rPr>
              <w:t>【内容缺陷是指：存在不适用项目实际情况的情形（与项目实际不匹配、不符合项目特点）、内容简单、可行性低、人员分工和岗位设置不完整不明确、凭空编造、逻辑漏洞、科学原理错误以及不可能实现的夸大情形等】</w:t>
            </w:r>
          </w:p>
        </w:tc>
        <w:tc>
          <w:tcPr>
            <w:tcW w:w="737" w:type="pct"/>
            <w:tcBorders>
              <w:top w:val="single" w:color="auto" w:sz="8" w:space="0"/>
              <w:left w:val="nil"/>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leftChars="0" w:right="0" w:rightChars="0" w:firstLine="240" w:firstLineChars="0"/>
              <w:jc w:val="both"/>
              <w:rPr>
                <w:rFonts w:hint="default" w:ascii="Arial Unicode MS" w:hAnsi="Arial Unicode MS" w:eastAsia="Arial Unicode MS" w:cs="Arial Unicode MS"/>
                <w:kern w:val="0"/>
                <w:sz w:val="21"/>
                <w:szCs w:val="21"/>
                <w:lang w:val="en-US" w:eastAsia="zh-CN" w:bidi="ar-SA"/>
              </w:rPr>
            </w:pPr>
            <w:r>
              <w:rPr>
                <w:rFonts w:hint="eastAsia" w:ascii="仿宋_GB2312" w:hAnsi="Microsoft YaHei UI" w:eastAsia="仿宋_GB2312" w:cs="仿宋_GB2312"/>
                <w:i w:val="0"/>
                <w:iCs w:val="0"/>
                <w:caps w:val="0"/>
                <w:color w:val="000000"/>
                <w:spacing w:val="4"/>
                <w:sz w:val="21"/>
                <w:szCs w:val="21"/>
                <w:lang w:val="en-US" w:eastAsia="zh-CN"/>
              </w:rPr>
              <w:t>6</w:t>
            </w:r>
            <w:r>
              <w:rPr>
                <w:rFonts w:hint="default" w:ascii="仿宋_GB2312" w:hAnsi="Microsoft YaHei UI" w:eastAsia="仿宋_GB2312" w:cs="仿宋_GB2312"/>
                <w:i w:val="0"/>
                <w:iCs w:val="0"/>
                <w:caps w:val="0"/>
                <w:color w:val="000000"/>
                <w:spacing w:val="4"/>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6" w:hRule="atLeast"/>
        </w:trPr>
        <w:tc>
          <w:tcPr>
            <w:tcW w:w="483" w:type="pct"/>
            <w:tcBorders>
              <w:top w:val="nil"/>
              <w:left w:val="single" w:color="auto" w:sz="8" w:space="0"/>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leftChars="0" w:right="0" w:rightChars="0"/>
              <w:jc w:val="center"/>
              <w:rPr>
                <w:rFonts w:ascii="Arial Unicode MS" w:hAnsi="Arial Unicode MS" w:eastAsia="Arial Unicode MS" w:cs="Arial Unicode MS"/>
                <w:kern w:val="0"/>
                <w:sz w:val="21"/>
                <w:szCs w:val="21"/>
                <w:lang w:val="en-US" w:eastAsia="zh-CN" w:bidi="ar-SA"/>
              </w:rPr>
            </w:pPr>
            <w:r>
              <w:rPr>
                <w:rFonts w:hint="default" w:ascii="仿宋_GB2312" w:hAnsi="Microsoft YaHei UI" w:eastAsia="仿宋_GB2312" w:cs="仿宋_GB2312"/>
                <w:i w:val="0"/>
                <w:iCs w:val="0"/>
                <w:caps w:val="0"/>
                <w:color w:val="000000"/>
                <w:spacing w:val="4"/>
                <w:sz w:val="21"/>
                <w:szCs w:val="21"/>
              </w:rPr>
              <w:t>3</w:t>
            </w:r>
          </w:p>
        </w:tc>
        <w:tc>
          <w:tcPr>
            <w:tcW w:w="761" w:type="pct"/>
            <w:tcBorders>
              <w:top w:val="nil"/>
              <w:left w:val="nil"/>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leftChars="0" w:right="0" w:rightChars="0"/>
              <w:jc w:val="center"/>
              <w:rPr>
                <w:rFonts w:ascii="Arial Unicode MS" w:hAnsi="Arial Unicode MS" w:eastAsia="Arial Unicode MS" w:cs="Arial Unicode MS"/>
                <w:kern w:val="0"/>
                <w:sz w:val="21"/>
                <w:szCs w:val="21"/>
                <w:lang w:val="en-US" w:eastAsia="zh-CN" w:bidi="ar-SA"/>
              </w:rPr>
            </w:pPr>
            <w:r>
              <w:rPr>
                <w:rFonts w:hint="default" w:ascii="仿宋_GB2312" w:hAnsi="Microsoft YaHei UI" w:eastAsia="仿宋_GB2312" w:cs="仿宋_GB2312"/>
                <w:i w:val="0"/>
                <w:iCs w:val="0"/>
                <w:caps w:val="0"/>
                <w:color w:val="000000"/>
                <w:spacing w:val="4"/>
                <w:sz w:val="21"/>
                <w:szCs w:val="21"/>
              </w:rPr>
              <w:t>人员配备</w:t>
            </w:r>
          </w:p>
        </w:tc>
        <w:tc>
          <w:tcPr>
            <w:tcW w:w="3017" w:type="pct"/>
            <w:tcBorders>
              <w:top w:val="nil"/>
              <w:left w:val="nil"/>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rPr>
                <w:sz w:val="21"/>
                <w:szCs w:val="21"/>
              </w:rPr>
            </w:pPr>
            <w:r>
              <w:rPr>
                <w:rFonts w:hint="default" w:ascii="仿宋_GB2312" w:hAnsi="Microsoft YaHei UI" w:eastAsia="仿宋_GB2312" w:cs="仿宋_GB2312"/>
                <w:i w:val="0"/>
                <w:iCs w:val="0"/>
                <w:caps w:val="0"/>
                <w:color w:val="000000"/>
                <w:spacing w:val="4"/>
                <w:sz w:val="21"/>
                <w:szCs w:val="21"/>
              </w:rPr>
              <w:t>项目组成员（16分）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rPr>
                <w:sz w:val="21"/>
                <w:szCs w:val="21"/>
              </w:rPr>
            </w:pPr>
            <w:r>
              <w:rPr>
                <w:rFonts w:hint="default" w:ascii="仿宋_GB2312" w:hAnsi="Microsoft YaHei UI" w:eastAsia="仿宋_GB2312" w:cs="仿宋_GB2312"/>
                <w:i w:val="0"/>
                <w:iCs w:val="0"/>
                <w:caps w:val="0"/>
                <w:color w:val="000000"/>
                <w:spacing w:val="4"/>
                <w:sz w:val="21"/>
                <w:szCs w:val="21"/>
              </w:rPr>
              <w:t>1、项目组成员中具有行业协会颁发的培训证的，每有1个得2分，最高得14分。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rPr>
                <w:sz w:val="21"/>
                <w:szCs w:val="21"/>
              </w:rPr>
            </w:pPr>
            <w:r>
              <w:rPr>
                <w:rFonts w:hint="default" w:ascii="仿宋_GB2312" w:hAnsi="Microsoft YaHei UI" w:eastAsia="仿宋_GB2312" w:cs="仿宋_GB2312"/>
                <w:i w:val="0"/>
                <w:iCs w:val="0"/>
                <w:caps w:val="0"/>
                <w:color w:val="000000"/>
                <w:spacing w:val="4"/>
                <w:sz w:val="21"/>
                <w:szCs w:val="21"/>
              </w:rPr>
              <w:t>2、指派负责我单位业务人员应为本公司缴纳社保人员且有固定的联系工作人员得2分。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leftChars="0" w:right="0" w:rightChars="0"/>
              <w:jc w:val="both"/>
              <w:rPr>
                <w:rFonts w:ascii="Arial Unicode MS" w:hAnsi="Arial Unicode MS" w:eastAsia="Arial Unicode MS" w:cs="Arial Unicode MS"/>
                <w:kern w:val="0"/>
                <w:sz w:val="21"/>
                <w:szCs w:val="21"/>
                <w:lang w:val="en-US" w:eastAsia="zh-CN" w:bidi="ar-SA"/>
              </w:rPr>
            </w:pPr>
            <w:r>
              <w:rPr>
                <w:rFonts w:hint="default" w:ascii="仿宋_GB2312" w:hAnsi="Microsoft YaHei UI" w:eastAsia="仿宋_GB2312" w:cs="仿宋_GB2312"/>
                <w:i w:val="0"/>
                <w:iCs w:val="0"/>
                <w:caps w:val="0"/>
                <w:color w:val="000000"/>
                <w:spacing w:val="4"/>
                <w:sz w:val="21"/>
                <w:szCs w:val="21"/>
              </w:rPr>
              <w:t>注：提供有效证明材料复印件并加盖供应商公章。</w:t>
            </w:r>
          </w:p>
        </w:tc>
        <w:tc>
          <w:tcPr>
            <w:tcW w:w="737" w:type="pct"/>
            <w:tcBorders>
              <w:top w:val="nil"/>
              <w:left w:val="nil"/>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leftChars="0" w:right="0" w:rightChars="0"/>
              <w:jc w:val="center"/>
              <w:rPr>
                <w:rFonts w:ascii="Arial Unicode MS" w:hAnsi="Arial Unicode MS" w:eastAsia="Arial Unicode MS" w:cs="Arial Unicode MS"/>
                <w:kern w:val="0"/>
                <w:sz w:val="21"/>
                <w:szCs w:val="21"/>
                <w:lang w:val="en-US" w:eastAsia="zh-CN" w:bidi="ar-SA"/>
              </w:rPr>
            </w:pPr>
            <w:r>
              <w:rPr>
                <w:rFonts w:hint="default" w:ascii="仿宋_GB2312" w:hAnsi="Microsoft YaHei UI" w:eastAsia="仿宋_GB2312" w:cs="仿宋_GB2312"/>
                <w:i w:val="0"/>
                <w:iCs w:val="0"/>
                <w:caps w:val="0"/>
                <w:color w:val="000000"/>
                <w:spacing w:val="4"/>
                <w:sz w:val="21"/>
                <w:szCs w:val="21"/>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483" w:type="pct"/>
            <w:tcBorders>
              <w:top w:val="nil"/>
              <w:left w:val="single" w:color="auto" w:sz="8" w:space="0"/>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leftChars="0" w:right="0" w:rightChars="0"/>
              <w:jc w:val="center"/>
              <w:rPr>
                <w:rFonts w:ascii="Arial Unicode MS" w:hAnsi="Arial Unicode MS" w:eastAsia="Arial Unicode MS" w:cs="Arial Unicode MS"/>
                <w:kern w:val="0"/>
                <w:sz w:val="21"/>
                <w:szCs w:val="21"/>
                <w:lang w:val="en-US" w:eastAsia="zh-CN" w:bidi="ar-SA"/>
              </w:rPr>
            </w:pPr>
            <w:r>
              <w:rPr>
                <w:rFonts w:hint="default" w:ascii="仿宋_GB2312" w:hAnsi="Microsoft YaHei UI" w:eastAsia="仿宋_GB2312" w:cs="仿宋_GB2312"/>
                <w:i w:val="0"/>
                <w:iCs w:val="0"/>
                <w:caps w:val="0"/>
                <w:color w:val="000000"/>
                <w:spacing w:val="4"/>
                <w:sz w:val="21"/>
                <w:szCs w:val="21"/>
              </w:rPr>
              <w:t>4</w:t>
            </w:r>
          </w:p>
        </w:tc>
        <w:tc>
          <w:tcPr>
            <w:tcW w:w="761" w:type="pct"/>
            <w:tcBorders>
              <w:top w:val="nil"/>
              <w:left w:val="nil"/>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1"/>
                <w:szCs w:val="21"/>
              </w:rPr>
            </w:pPr>
            <w:r>
              <w:rPr>
                <w:rFonts w:hint="default" w:ascii="仿宋_GB2312" w:hAnsi="Microsoft YaHei UI" w:eastAsia="仿宋_GB2312" w:cs="仿宋_GB2312"/>
                <w:i w:val="0"/>
                <w:iCs w:val="0"/>
                <w:caps w:val="0"/>
                <w:color w:val="000000"/>
                <w:spacing w:val="4"/>
                <w:sz w:val="21"/>
                <w:szCs w:val="21"/>
              </w:rPr>
              <w:t>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leftChars="0" w:right="0" w:rightChars="0"/>
              <w:jc w:val="center"/>
              <w:rPr>
                <w:rFonts w:ascii="Arial Unicode MS" w:hAnsi="Arial Unicode MS" w:eastAsia="Arial Unicode MS" w:cs="Arial Unicode MS"/>
                <w:kern w:val="0"/>
                <w:sz w:val="21"/>
                <w:szCs w:val="21"/>
                <w:lang w:val="en-US" w:eastAsia="zh-CN" w:bidi="ar-SA"/>
              </w:rPr>
            </w:pPr>
            <w:r>
              <w:rPr>
                <w:rFonts w:hint="default" w:ascii="仿宋_GB2312" w:hAnsi="Microsoft YaHei UI" w:eastAsia="仿宋_GB2312" w:cs="仿宋_GB2312"/>
                <w:i w:val="0"/>
                <w:iCs w:val="0"/>
                <w:caps w:val="0"/>
                <w:color w:val="000000"/>
                <w:spacing w:val="4"/>
                <w:sz w:val="21"/>
                <w:szCs w:val="21"/>
              </w:rPr>
              <w:t>业绩</w:t>
            </w:r>
          </w:p>
        </w:tc>
        <w:tc>
          <w:tcPr>
            <w:tcW w:w="3017" w:type="pct"/>
            <w:tcBorders>
              <w:top w:val="nil"/>
              <w:left w:val="nil"/>
              <w:bottom w:val="single" w:color="auto" w:sz="8" w:space="0"/>
              <w:right w:val="single" w:color="auto" w:sz="8" w:space="0"/>
            </w:tcBorders>
            <w:shd w:val="clear" w:color="auto" w:fill="FFFFFF"/>
            <w:tcMar>
              <w:top w:w="28" w:type="dxa"/>
              <w:left w:w="108" w:type="dxa"/>
              <w:bottom w:w="28" w:type="dxa"/>
              <w:right w:w="108" w:type="dxa"/>
            </w:tcMar>
            <w:vAlign w:val="center"/>
          </w:tcPr>
          <w:p>
            <w:pPr>
              <w:keepNext w:val="0"/>
              <w:keepLines w:val="0"/>
              <w:widowControl/>
              <w:suppressLineNumbers w:val="0"/>
              <w:jc w:val="left"/>
              <w:rPr>
                <w:rFonts w:hint="default" w:ascii="仿宋_GB2312" w:hAnsi="Microsoft YaHei UI" w:eastAsia="仿宋_GB2312" w:cs="仿宋_GB2312"/>
                <w:i w:val="0"/>
                <w:iCs w:val="0"/>
                <w:caps w:val="0"/>
                <w:color w:val="000000"/>
                <w:spacing w:val="4"/>
                <w:kern w:val="0"/>
                <w:sz w:val="21"/>
                <w:szCs w:val="21"/>
                <w:lang w:val="en-US" w:eastAsia="zh-CN" w:bidi="ar-SA"/>
              </w:rPr>
            </w:pPr>
            <w:r>
              <w:rPr>
                <w:rFonts w:hint="eastAsia" w:ascii="仿宋_GB2312" w:hAnsi="Microsoft YaHei UI" w:eastAsia="仿宋_GB2312" w:cs="仿宋_GB2312"/>
                <w:i w:val="0"/>
                <w:iCs w:val="0"/>
                <w:caps w:val="0"/>
                <w:color w:val="000000"/>
                <w:spacing w:val="4"/>
                <w:kern w:val="0"/>
                <w:sz w:val="21"/>
                <w:szCs w:val="21"/>
                <w:lang w:val="en-US" w:eastAsia="zh-CN" w:bidi="ar-SA"/>
              </w:rPr>
              <w:t>工程类单项服务案例、货物类单项服务案例、服务类单项服务案例以及在内蒙古自治区及各盟市级公共资源交易中心组织工程、货物、服务类项目服务案例，每提供一个案例得1分， 最高得10分。</w:t>
            </w:r>
            <w:r>
              <w:rPr>
                <w:rFonts w:hint="default" w:ascii="仿宋_GB2312" w:hAnsi="Microsoft YaHei UI" w:eastAsia="仿宋_GB2312" w:cs="仿宋_GB2312"/>
                <w:i w:val="0"/>
                <w:iCs w:val="0"/>
                <w:caps w:val="0"/>
                <w:color w:val="000000"/>
                <w:spacing w:val="4"/>
                <w:kern w:val="0"/>
                <w:sz w:val="21"/>
                <w:szCs w:val="21"/>
                <w:lang w:val="en-US" w:eastAsia="zh-CN" w:bidi="ar-SA"/>
              </w:rPr>
              <w:t>不提供则不得分。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leftChars="0" w:right="0" w:rightChars="0"/>
              <w:jc w:val="both"/>
              <w:rPr>
                <w:rFonts w:ascii="Arial Unicode MS" w:hAnsi="Arial Unicode MS" w:eastAsia="Arial Unicode MS" w:cs="Arial Unicode MS"/>
                <w:kern w:val="0"/>
                <w:sz w:val="21"/>
                <w:szCs w:val="21"/>
                <w:lang w:val="en-US" w:eastAsia="zh-CN" w:bidi="ar-SA"/>
              </w:rPr>
            </w:pPr>
            <w:r>
              <w:rPr>
                <w:rFonts w:hint="default" w:ascii="仿宋_GB2312" w:hAnsi="Microsoft YaHei UI" w:eastAsia="仿宋_GB2312" w:cs="仿宋_GB2312"/>
                <w:i w:val="0"/>
                <w:iCs w:val="0"/>
                <w:caps w:val="0"/>
                <w:color w:val="000000"/>
                <w:spacing w:val="4"/>
                <w:sz w:val="21"/>
                <w:szCs w:val="21"/>
              </w:rPr>
              <w:t>备注：以上业绩需提供加盖公章的代理协议。时间为2021年1月1日至</w:t>
            </w:r>
            <w:r>
              <w:rPr>
                <w:rFonts w:hint="eastAsia" w:ascii="仿宋_GB2312" w:hAnsi="Microsoft YaHei UI" w:eastAsia="仿宋_GB2312" w:cs="仿宋_GB2312"/>
                <w:i w:val="0"/>
                <w:iCs w:val="0"/>
                <w:caps w:val="0"/>
                <w:color w:val="000000"/>
                <w:spacing w:val="4"/>
                <w:sz w:val="21"/>
                <w:szCs w:val="21"/>
                <w:lang w:eastAsia="zh-CN"/>
              </w:rPr>
              <w:t>遴选</w:t>
            </w:r>
            <w:r>
              <w:rPr>
                <w:rFonts w:hint="default" w:ascii="仿宋_GB2312" w:hAnsi="Microsoft YaHei UI" w:eastAsia="仿宋_GB2312" w:cs="仿宋_GB2312"/>
                <w:i w:val="0"/>
                <w:iCs w:val="0"/>
                <w:caps w:val="0"/>
                <w:color w:val="000000"/>
                <w:spacing w:val="4"/>
                <w:sz w:val="21"/>
                <w:szCs w:val="21"/>
              </w:rPr>
              <w:t>前。</w:t>
            </w:r>
          </w:p>
        </w:tc>
        <w:tc>
          <w:tcPr>
            <w:tcW w:w="737" w:type="pct"/>
            <w:tcBorders>
              <w:top w:val="nil"/>
              <w:left w:val="nil"/>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leftChars="0" w:right="0" w:rightChars="0"/>
              <w:jc w:val="center"/>
              <w:rPr>
                <w:rFonts w:ascii="Arial Unicode MS" w:hAnsi="Arial Unicode MS" w:eastAsia="Arial Unicode MS" w:cs="Arial Unicode MS"/>
                <w:kern w:val="0"/>
                <w:sz w:val="21"/>
                <w:szCs w:val="21"/>
                <w:lang w:val="en-US" w:eastAsia="zh-CN" w:bidi="ar-SA"/>
              </w:rPr>
            </w:pPr>
            <w:r>
              <w:rPr>
                <w:rFonts w:hint="default" w:ascii="仿宋_GB2312" w:hAnsi="Microsoft YaHei UI" w:eastAsia="仿宋_GB2312" w:cs="仿宋_GB2312"/>
                <w:i w:val="0"/>
                <w:iCs w:val="0"/>
                <w:caps w:val="0"/>
                <w:color w:val="000000"/>
                <w:spacing w:val="4"/>
                <w:sz w:val="21"/>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86" w:hRule="atLeast"/>
        </w:trPr>
        <w:tc>
          <w:tcPr>
            <w:tcW w:w="483" w:type="pct"/>
            <w:tcBorders>
              <w:top w:val="nil"/>
              <w:left w:val="single" w:color="auto" w:sz="8" w:space="0"/>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leftChars="0" w:right="0" w:rightChars="0"/>
              <w:jc w:val="center"/>
              <w:rPr>
                <w:rFonts w:ascii="Arial Unicode MS" w:hAnsi="Arial Unicode MS" w:eastAsia="Arial Unicode MS" w:cs="Arial Unicode MS"/>
                <w:kern w:val="0"/>
                <w:sz w:val="21"/>
                <w:szCs w:val="21"/>
                <w:lang w:val="en-US" w:eastAsia="zh-CN" w:bidi="ar-SA"/>
              </w:rPr>
            </w:pPr>
            <w:r>
              <w:rPr>
                <w:rFonts w:hint="default" w:ascii="仿宋_GB2312" w:hAnsi="Microsoft YaHei UI" w:eastAsia="仿宋_GB2312" w:cs="仿宋_GB2312"/>
                <w:i w:val="0"/>
                <w:iCs w:val="0"/>
                <w:caps w:val="0"/>
                <w:color w:val="000000"/>
                <w:spacing w:val="4"/>
                <w:sz w:val="21"/>
                <w:szCs w:val="21"/>
              </w:rPr>
              <w:t>5</w:t>
            </w:r>
          </w:p>
        </w:tc>
        <w:tc>
          <w:tcPr>
            <w:tcW w:w="761" w:type="pct"/>
            <w:tcBorders>
              <w:top w:val="nil"/>
              <w:left w:val="nil"/>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leftChars="0" w:right="0" w:rightChars="0"/>
              <w:jc w:val="center"/>
              <w:rPr>
                <w:rFonts w:ascii="Arial Unicode MS" w:hAnsi="Arial Unicode MS" w:eastAsia="Arial Unicode MS" w:cs="Arial Unicode MS"/>
                <w:kern w:val="0"/>
                <w:sz w:val="21"/>
                <w:szCs w:val="21"/>
                <w:lang w:val="en-US" w:eastAsia="zh-CN" w:bidi="ar-SA"/>
              </w:rPr>
            </w:pPr>
            <w:r>
              <w:rPr>
                <w:rFonts w:hint="default" w:ascii="仿宋_GB2312" w:hAnsi="Microsoft YaHei UI" w:eastAsia="仿宋_GB2312" w:cs="仿宋_GB2312"/>
                <w:i w:val="0"/>
                <w:iCs w:val="0"/>
                <w:caps w:val="0"/>
                <w:color w:val="000000"/>
                <w:spacing w:val="4"/>
                <w:sz w:val="21"/>
                <w:szCs w:val="21"/>
              </w:rPr>
              <w:t>管理制度</w:t>
            </w:r>
          </w:p>
        </w:tc>
        <w:tc>
          <w:tcPr>
            <w:tcW w:w="3017" w:type="pct"/>
            <w:tcBorders>
              <w:top w:val="nil"/>
              <w:left w:val="nil"/>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leftChars="0" w:right="0" w:rightChars="0"/>
              <w:jc w:val="both"/>
              <w:rPr>
                <w:rFonts w:ascii="Arial Unicode MS" w:hAnsi="Arial Unicode MS" w:eastAsia="Arial Unicode MS" w:cs="Arial Unicode MS"/>
                <w:kern w:val="0"/>
                <w:sz w:val="21"/>
                <w:szCs w:val="21"/>
                <w:lang w:val="en-US" w:eastAsia="zh-CN" w:bidi="ar-SA"/>
              </w:rPr>
            </w:pPr>
            <w:r>
              <w:rPr>
                <w:rFonts w:hint="default" w:ascii="仿宋_GB2312" w:hAnsi="Microsoft YaHei UI" w:eastAsia="仿宋_GB2312" w:cs="仿宋_GB2312"/>
                <w:i w:val="0"/>
                <w:iCs w:val="0"/>
                <w:caps w:val="0"/>
                <w:color w:val="000000"/>
                <w:spacing w:val="4"/>
                <w:sz w:val="21"/>
                <w:szCs w:val="21"/>
              </w:rPr>
              <w:t>提供企业的管理制度：内控制度、档案管理制度、财务制度。每提供一项得2分，最多得6分。以上每一项中每有1处存在内容缺失扣2分，每一项关于内容缺陷最多扣1分。【内容缺陷是指：存在不适用项目实际情况的情形（与项目实际不匹配、不符合项目特点）、内容简单、可行性低以及不可能实现的夸大情形等】，扣完为止。</w:t>
            </w:r>
          </w:p>
        </w:tc>
        <w:tc>
          <w:tcPr>
            <w:tcW w:w="737" w:type="pct"/>
            <w:tcBorders>
              <w:top w:val="nil"/>
              <w:left w:val="nil"/>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leftChars="0" w:right="0" w:rightChars="0"/>
              <w:jc w:val="center"/>
              <w:rPr>
                <w:rFonts w:ascii="Arial Unicode MS" w:hAnsi="Arial Unicode MS" w:eastAsia="Arial Unicode MS" w:cs="Arial Unicode MS"/>
                <w:kern w:val="0"/>
                <w:sz w:val="21"/>
                <w:szCs w:val="21"/>
                <w:lang w:val="en-US" w:eastAsia="zh-CN" w:bidi="ar-SA"/>
              </w:rPr>
            </w:pPr>
            <w:r>
              <w:rPr>
                <w:rFonts w:hint="default" w:ascii="仿宋_GB2312" w:hAnsi="Microsoft YaHei UI" w:eastAsia="仿宋_GB2312" w:cs="仿宋_GB2312"/>
                <w:i w:val="0"/>
                <w:iCs w:val="0"/>
                <w:caps w:val="0"/>
                <w:color w:val="000000"/>
                <w:spacing w:val="4"/>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8" w:hRule="atLeast"/>
        </w:trPr>
        <w:tc>
          <w:tcPr>
            <w:tcW w:w="483" w:type="pct"/>
            <w:tcBorders>
              <w:top w:val="nil"/>
              <w:left w:val="single" w:color="auto" w:sz="8" w:space="0"/>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leftChars="0" w:right="0" w:rightChars="0"/>
              <w:jc w:val="center"/>
              <w:rPr>
                <w:rFonts w:ascii="Arial Unicode MS" w:hAnsi="Arial Unicode MS" w:eastAsia="Arial Unicode MS" w:cs="Arial Unicode MS"/>
                <w:kern w:val="0"/>
                <w:sz w:val="21"/>
                <w:szCs w:val="21"/>
                <w:lang w:val="en-US" w:eastAsia="zh-CN" w:bidi="ar-SA"/>
              </w:rPr>
            </w:pPr>
            <w:r>
              <w:rPr>
                <w:rFonts w:hint="default" w:ascii="仿宋_GB2312" w:hAnsi="Microsoft YaHei UI" w:eastAsia="仿宋_GB2312" w:cs="仿宋_GB2312"/>
                <w:i w:val="0"/>
                <w:iCs w:val="0"/>
                <w:caps w:val="0"/>
                <w:color w:val="000000"/>
                <w:spacing w:val="4"/>
                <w:sz w:val="21"/>
                <w:szCs w:val="21"/>
              </w:rPr>
              <w:t>6</w:t>
            </w:r>
          </w:p>
        </w:tc>
        <w:tc>
          <w:tcPr>
            <w:tcW w:w="761" w:type="pct"/>
            <w:tcBorders>
              <w:top w:val="nil"/>
              <w:left w:val="nil"/>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leftChars="0" w:right="0" w:rightChars="0"/>
              <w:jc w:val="center"/>
              <w:rPr>
                <w:rFonts w:ascii="Arial Unicode MS" w:hAnsi="Arial Unicode MS" w:eastAsia="Arial Unicode MS" w:cs="Arial Unicode MS"/>
                <w:kern w:val="0"/>
                <w:sz w:val="21"/>
                <w:szCs w:val="21"/>
                <w:lang w:val="en-US" w:eastAsia="zh-CN" w:bidi="ar-SA"/>
              </w:rPr>
            </w:pPr>
            <w:r>
              <w:rPr>
                <w:rFonts w:hint="default" w:ascii="仿宋_GB2312" w:hAnsi="Microsoft YaHei UI" w:eastAsia="仿宋_GB2312" w:cs="仿宋_GB2312"/>
                <w:i w:val="0"/>
                <w:iCs w:val="0"/>
                <w:caps w:val="0"/>
                <w:color w:val="000000"/>
                <w:spacing w:val="4"/>
                <w:sz w:val="21"/>
                <w:szCs w:val="21"/>
              </w:rPr>
              <w:t>基础设施</w:t>
            </w:r>
          </w:p>
        </w:tc>
        <w:tc>
          <w:tcPr>
            <w:tcW w:w="3017" w:type="pct"/>
            <w:tcBorders>
              <w:top w:val="nil"/>
              <w:left w:val="nil"/>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rPr>
                <w:sz w:val="21"/>
                <w:szCs w:val="21"/>
              </w:rPr>
            </w:pPr>
            <w:r>
              <w:rPr>
                <w:rFonts w:hint="default" w:ascii="仿宋_GB2312" w:hAnsi="Microsoft YaHei UI" w:eastAsia="仿宋_GB2312" w:cs="仿宋_GB2312"/>
                <w:i w:val="0"/>
                <w:iCs w:val="0"/>
                <w:caps w:val="0"/>
                <w:color w:val="000000"/>
                <w:spacing w:val="4"/>
                <w:sz w:val="21"/>
                <w:szCs w:val="21"/>
              </w:rPr>
              <w:t>1、设有独立的会议室的得2分，需提供会议室照片，不提供则不得分；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leftChars="0" w:right="0" w:rightChars="0"/>
              <w:jc w:val="left"/>
              <w:rPr>
                <w:rFonts w:ascii="Arial Unicode MS" w:hAnsi="Arial Unicode MS" w:eastAsia="Arial Unicode MS" w:cs="Arial Unicode MS"/>
                <w:kern w:val="0"/>
                <w:sz w:val="21"/>
                <w:szCs w:val="21"/>
                <w:lang w:val="en-US" w:eastAsia="zh-CN" w:bidi="ar-SA"/>
              </w:rPr>
            </w:pPr>
            <w:r>
              <w:rPr>
                <w:rFonts w:hint="default" w:ascii="仿宋_GB2312" w:hAnsi="Microsoft YaHei UI" w:eastAsia="仿宋_GB2312" w:cs="仿宋_GB2312"/>
                <w:i w:val="0"/>
                <w:iCs w:val="0"/>
                <w:caps w:val="0"/>
                <w:color w:val="000000"/>
                <w:spacing w:val="4"/>
                <w:sz w:val="21"/>
                <w:szCs w:val="21"/>
              </w:rPr>
              <w:t>2、会议室有双路监控设施的得2分，需提供两路视频监控照片，不提供则不得分。</w:t>
            </w:r>
          </w:p>
        </w:tc>
        <w:tc>
          <w:tcPr>
            <w:tcW w:w="737" w:type="pct"/>
            <w:tcBorders>
              <w:top w:val="nil"/>
              <w:left w:val="nil"/>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leftChars="0" w:right="0" w:rightChars="0"/>
              <w:jc w:val="center"/>
              <w:rPr>
                <w:rFonts w:ascii="Arial Unicode MS" w:hAnsi="Arial Unicode MS" w:eastAsia="Arial Unicode MS" w:cs="Arial Unicode MS"/>
                <w:kern w:val="0"/>
                <w:sz w:val="21"/>
                <w:szCs w:val="21"/>
                <w:lang w:val="en-US" w:eastAsia="zh-CN" w:bidi="ar-SA"/>
              </w:rPr>
            </w:pPr>
            <w:r>
              <w:rPr>
                <w:rFonts w:hint="default" w:ascii="仿宋_GB2312" w:hAnsi="Microsoft YaHei UI" w:eastAsia="仿宋_GB2312" w:cs="仿宋_GB2312"/>
                <w:i w:val="0"/>
                <w:iCs w:val="0"/>
                <w:caps w:val="0"/>
                <w:color w:val="000000"/>
                <w:spacing w:val="4"/>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483" w:type="pct"/>
            <w:tcBorders>
              <w:top w:val="nil"/>
              <w:left w:val="single" w:color="auto" w:sz="8" w:space="0"/>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1"/>
                <w:szCs w:val="21"/>
              </w:rPr>
            </w:pPr>
            <w:r>
              <w:rPr>
                <w:rFonts w:hint="default" w:ascii="仿宋_GB2312" w:hAnsi="Microsoft YaHei UI" w:eastAsia="仿宋_GB2312" w:cs="仿宋_GB2312"/>
                <w:i w:val="0"/>
                <w:iCs w:val="0"/>
                <w:caps w:val="0"/>
                <w:color w:val="000000"/>
                <w:spacing w:val="4"/>
                <w:sz w:val="21"/>
                <w:szCs w:val="21"/>
              </w:rPr>
              <w:t>总分</w:t>
            </w:r>
          </w:p>
        </w:tc>
        <w:tc>
          <w:tcPr>
            <w:tcW w:w="4516" w:type="pct"/>
            <w:gridSpan w:val="3"/>
            <w:tcBorders>
              <w:top w:val="nil"/>
              <w:left w:val="nil"/>
              <w:bottom w:val="single" w:color="auto" w:sz="8" w:space="0"/>
              <w:right w:val="single" w:color="auto" w:sz="8" w:space="0"/>
            </w:tcBorders>
            <w:shd w:val="clear" w:color="auto" w:fill="FFFFFF"/>
            <w:tcMar>
              <w:top w:w="28" w:type="dxa"/>
              <w:left w:w="108" w:type="dxa"/>
              <w:bottom w:w="2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0"/>
              <w:jc w:val="center"/>
              <w:rPr>
                <w:sz w:val="21"/>
                <w:szCs w:val="21"/>
              </w:rPr>
            </w:pPr>
            <w:r>
              <w:rPr>
                <w:rFonts w:hint="default" w:ascii="仿宋_GB2312" w:hAnsi="Microsoft YaHei UI" w:eastAsia="仿宋_GB2312" w:cs="仿宋_GB2312"/>
                <w:i w:val="0"/>
                <w:iCs w:val="0"/>
                <w:caps w:val="0"/>
                <w:color w:val="000000"/>
                <w:spacing w:val="0"/>
                <w:sz w:val="21"/>
                <w:szCs w:val="21"/>
                <w:shd w:val="clear" w:fill="FFFFFF"/>
              </w:rPr>
              <w:t>100分</w:t>
            </w:r>
          </w:p>
        </w:tc>
      </w:tr>
    </w:tbl>
    <w:p>
      <w:pPr>
        <w:pStyle w:val="4"/>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96D96"/>
    <w:multiLevelType w:val="multilevel"/>
    <w:tmpl w:val="07696D96"/>
    <w:lvl w:ilvl="0" w:tentative="0">
      <w:start w:val="1"/>
      <w:numFmt w:val="decimal"/>
      <w:pStyle w:val="14"/>
      <w:lvlText w:val="%1)"/>
      <w:lvlJc w:val="left"/>
      <w:pPr>
        <w:tabs>
          <w:tab w:val="left" w:pos="420"/>
        </w:tabs>
        <w:ind w:left="420" w:hanging="420"/>
      </w:pPr>
    </w:lvl>
    <w:lvl w:ilvl="1" w:tentative="0">
      <w:start w:val="1"/>
      <w:numFmt w:val="decimal"/>
      <w:lvlText w:val="%2)"/>
      <w:lvlJc w:val="left"/>
      <w:pPr>
        <w:tabs>
          <w:tab w:val="left" w:pos="862"/>
        </w:tabs>
        <w:ind w:left="862"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8B501DB"/>
    <w:multiLevelType w:val="multilevel"/>
    <w:tmpl w:val="18B501DB"/>
    <w:lvl w:ilvl="0" w:tentative="0">
      <w:start w:val="1"/>
      <w:numFmt w:val="decimal"/>
      <w:pStyle w:val="13"/>
      <w:lvlText w:val="%1."/>
      <w:lvlJc w:val="left"/>
      <w:pPr>
        <w:tabs>
          <w:tab w:val="left" w:pos="420"/>
        </w:tabs>
        <w:ind w:left="420" w:hanging="420"/>
      </w:pPr>
      <w:rPr>
        <w:rFonts w:hint="eastAsia"/>
      </w:rPr>
    </w:lvl>
    <w:lvl w:ilvl="1" w:tentative="0">
      <w:start w:val="1"/>
      <w:numFmt w:val="lowerLetter"/>
      <w:lvlText w:val="%2)"/>
      <w:lvlJc w:val="left"/>
      <w:pPr>
        <w:tabs>
          <w:tab w:val="left" w:pos="-482"/>
        </w:tabs>
        <w:ind w:left="-482" w:hanging="420"/>
      </w:pPr>
    </w:lvl>
    <w:lvl w:ilvl="2" w:tentative="0">
      <w:start w:val="7"/>
      <w:numFmt w:val="japaneseCounting"/>
      <w:lvlText w:val="第%3章"/>
      <w:lvlJc w:val="left"/>
      <w:pPr>
        <w:tabs>
          <w:tab w:val="left" w:pos="643"/>
        </w:tabs>
        <w:ind w:left="643" w:hanging="1125"/>
      </w:pPr>
      <w:rPr>
        <w:rFonts w:hint="default"/>
      </w:rPr>
    </w:lvl>
    <w:lvl w:ilvl="3" w:tentative="0">
      <w:start w:val="5"/>
      <w:numFmt w:val="japaneseCounting"/>
      <w:lvlText w:val="第%4章"/>
      <w:lvlJc w:val="left"/>
      <w:pPr>
        <w:tabs>
          <w:tab w:val="left" w:pos="778"/>
        </w:tabs>
        <w:ind w:left="778" w:hanging="840"/>
      </w:pPr>
      <w:rPr>
        <w:rFonts w:hint="default"/>
      </w:rPr>
    </w:lvl>
    <w:lvl w:ilvl="4" w:tentative="0">
      <w:start w:val="1"/>
      <w:numFmt w:val="lowerLetter"/>
      <w:lvlText w:val="%5)"/>
      <w:lvlJc w:val="left"/>
      <w:pPr>
        <w:tabs>
          <w:tab w:val="left" w:pos="778"/>
        </w:tabs>
        <w:ind w:left="778" w:hanging="420"/>
      </w:pPr>
    </w:lvl>
    <w:lvl w:ilvl="5" w:tentative="0">
      <w:start w:val="1"/>
      <w:numFmt w:val="lowerRoman"/>
      <w:lvlText w:val="%6."/>
      <w:lvlJc w:val="right"/>
      <w:pPr>
        <w:tabs>
          <w:tab w:val="left" w:pos="1198"/>
        </w:tabs>
        <w:ind w:left="1198" w:hanging="420"/>
      </w:pPr>
    </w:lvl>
    <w:lvl w:ilvl="6" w:tentative="0">
      <w:start w:val="1"/>
      <w:numFmt w:val="decimal"/>
      <w:lvlText w:val="%7."/>
      <w:lvlJc w:val="left"/>
      <w:pPr>
        <w:tabs>
          <w:tab w:val="left" w:pos="1618"/>
        </w:tabs>
        <w:ind w:left="1618" w:hanging="420"/>
      </w:pPr>
    </w:lvl>
    <w:lvl w:ilvl="7" w:tentative="0">
      <w:start w:val="1"/>
      <w:numFmt w:val="lowerLetter"/>
      <w:lvlText w:val="%8)"/>
      <w:lvlJc w:val="left"/>
      <w:pPr>
        <w:tabs>
          <w:tab w:val="left" w:pos="2038"/>
        </w:tabs>
        <w:ind w:left="2038" w:hanging="420"/>
      </w:pPr>
    </w:lvl>
    <w:lvl w:ilvl="8" w:tentative="0">
      <w:start w:val="1"/>
      <w:numFmt w:val="lowerRoman"/>
      <w:lvlText w:val="%9."/>
      <w:lvlJc w:val="right"/>
      <w:pPr>
        <w:tabs>
          <w:tab w:val="left" w:pos="2458"/>
        </w:tabs>
        <w:ind w:left="2458" w:hanging="420"/>
      </w:pPr>
    </w:lvl>
  </w:abstractNum>
  <w:abstractNum w:abstractNumId="2">
    <w:nsid w:val="591EADEE"/>
    <w:multiLevelType w:val="singleLevel"/>
    <w:tmpl w:val="591EADEE"/>
    <w:lvl w:ilvl="0" w:tentative="0">
      <w:start w:val="1"/>
      <w:numFmt w:val="decimal"/>
      <w:pStyle w:val="11"/>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DJiOGU1NTBhM2RmN2IzZWEwNzE2YzdmNzAwODYifQ=="/>
  </w:docVars>
  <w:rsids>
    <w:rsidRoot w:val="2EBB3C25"/>
    <w:rsid w:val="0A3D04A2"/>
    <w:rsid w:val="14A03A9B"/>
    <w:rsid w:val="153077DF"/>
    <w:rsid w:val="160B50A7"/>
    <w:rsid w:val="17860E2F"/>
    <w:rsid w:val="1A1B49E5"/>
    <w:rsid w:val="1E8C1389"/>
    <w:rsid w:val="24691897"/>
    <w:rsid w:val="2EBB3C25"/>
    <w:rsid w:val="32E92EEE"/>
    <w:rsid w:val="38B15D2E"/>
    <w:rsid w:val="4A6630B8"/>
    <w:rsid w:val="4C64057B"/>
    <w:rsid w:val="4F2C6B5C"/>
    <w:rsid w:val="53BC1640"/>
    <w:rsid w:val="5606035A"/>
    <w:rsid w:val="567E1675"/>
    <w:rsid w:val="69C0019E"/>
    <w:rsid w:val="6CF2244C"/>
    <w:rsid w:val="748468B9"/>
    <w:rsid w:val="783647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120" w:beforeLines="0" w:beforeAutospacing="0" w:line="360" w:lineRule="auto"/>
      <w:outlineLvl w:val="1"/>
    </w:pPr>
    <w:rPr>
      <w:rFonts w:ascii="Arial" w:hAnsi="Arial" w:eastAsia="仿宋_GB2312"/>
      <w:b/>
      <w:sz w:val="28"/>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pPr>
  </w:style>
  <w:style w:type="paragraph" w:styleId="5">
    <w:name w:val="toc 1"/>
    <w:basedOn w:val="1"/>
    <w:next w:val="1"/>
    <w:qFormat/>
    <w:uiPriority w:val="0"/>
  </w:style>
  <w:style w:type="paragraph" w:styleId="6">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paragraph" w:customStyle="1" w:styleId="11">
    <w:name w:val="List Paragraph"/>
    <w:basedOn w:val="1"/>
    <w:autoRedefine/>
    <w:qFormat/>
    <w:uiPriority w:val="0"/>
    <w:pPr>
      <w:numPr>
        <w:ilvl w:val="0"/>
        <w:numId w:val="1"/>
      </w:numPr>
      <w:tabs>
        <w:tab w:val="left" w:pos="1309"/>
      </w:tabs>
      <w:spacing w:line="288" w:lineRule="auto"/>
    </w:pPr>
  </w:style>
  <w:style w:type="paragraph" w:customStyle="1" w:styleId="12">
    <w:name w:val="列出段落1"/>
    <w:basedOn w:val="1"/>
    <w:qFormat/>
    <w:uiPriority w:val="0"/>
    <w:pPr>
      <w:tabs>
        <w:tab w:val="left" w:pos="360"/>
      </w:tabs>
      <w:spacing w:line="288" w:lineRule="auto"/>
      <w:ind w:left="851" w:hanging="851"/>
    </w:pPr>
  </w:style>
  <w:style w:type="paragraph" w:customStyle="1" w:styleId="13">
    <w:name w:val="样式2"/>
    <w:basedOn w:val="1"/>
    <w:autoRedefine/>
    <w:qFormat/>
    <w:uiPriority w:val="0"/>
    <w:pPr>
      <w:numPr>
        <w:ilvl w:val="0"/>
        <w:numId w:val="2"/>
      </w:numPr>
      <w:adjustRightInd w:val="0"/>
      <w:snapToGrid w:val="0"/>
      <w:spacing w:line="440" w:lineRule="atLeast"/>
    </w:pPr>
    <w:rPr>
      <w:rFonts w:ascii="Arial" w:hAnsi="Arial" w:cs="Arial"/>
      <w:sz w:val="24"/>
    </w:rPr>
  </w:style>
  <w:style w:type="paragraph" w:customStyle="1" w:styleId="14">
    <w:name w:val="列表段落1"/>
    <w:basedOn w:val="1"/>
    <w:autoRedefine/>
    <w:qFormat/>
    <w:uiPriority w:val="0"/>
    <w:pPr>
      <w:numPr>
        <w:ilvl w:val="0"/>
        <w:numId w:val="3"/>
      </w:numPr>
      <w:tabs>
        <w:tab w:val="left" w:pos="1309"/>
      </w:tabs>
      <w:spacing w:line="288" w:lineRule="auto"/>
      <w:ind w:left="1360" w:hanging="720"/>
    </w:pPr>
    <w:rPr>
      <w:rFonts w:ascii="等线" w:hAnsi="等线" w:eastAsia="等线"/>
    </w:rPr>
  </w:style>
  <w:style w:type="paragraph" w:customStyle="1" w:styleId="15">
    <w:name w:val="HtmlNormal"/>
    <w:autoRedefine/>
    <w:qFormat/>
    <w:uiPriority w:val="0"/>
    <w:pPr>
      <w:widowControl/>
      <w:spacing w:before="100" w:beforeAutospacing="1" w:after="100" w:afterAutospacing="1"/>
      <w:jc w:val="left"/>
      <w:textAlignment w:val="baseline"/>
    </w:pPr>
    <w:rPr>
      <w:rFonts w:ascii="宋体" w:hAnsi="宋体" w:eastAsia="宋体" w:cs="Times New Roman"/>
      <w:kern w:val="0"/>
      <w:sz w:val="24"/>
      <w:szCs w:val="24"/>
      <w:lang w:val="en-US" w:eastAsia="zh-CN"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Plain Text"/>
    <w:basedOn w:val="1"/>
    <w:autoRedefine/>
    <w:qFormat/>
    <w:uiPriority w:val="0"/>
    <w:rPr>
      <w:rFonts w:ascii="宋体" w:hAnsi="Courier New"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2607</Words>
  <Characters>2646</Characters>
  <Lines>0</Lines>
  <Paragraphs>0</Paragraphs>
  <TotalTime>10</TotalTime>
  <ScaleCrop>false</ScaleCrop>
  <LinksUpToDate>false</LinksUpToDate>
  <CharactersWithSpaces>2646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2023-04-06T10:09:00Z</dcterms:created>
  <dc:creator>范丹霞</dc:creator>
  <cp:lastModifiedBy>王浩林</cp:lastModifiedBy>
  <dcterms:modified xsi:type="dcterms:W3CDTF">2024-05-17T10:38:44Z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B3DC0383F5FD401D8625BC649C0354DF_13</vt:lpwstr>
  </property>
</Properties>
</file>